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27" w:rsidRPr="00080450" w:rsidRDefault="00E15B46" w:rsidP="005E2775">
      <w:pPr>
        <w:jc w:val="both"/>
        <w:rPr>
          <w:rFonts w:ascii="Arial" w:hAnsi="Arial" w:cs="Arial"/>
          <w:b/>
          <w:sz w:val="20"/>
          <w:szCs w:val="20"/>
        </w:rPr>
      </w:pPr>
      <w:r w:rsidRPr="00080450">
        <w:rPr>
          <w:rFonts w:ascii="Arial" w:hAnsi="Arial" w:cs="Arial"/>
          <w:b/>
          <w:sz w:val="20"/>
          <w:szCs w:val="20"/>
        </w:rPr>
        <w:t xml:space="preserve">EJERCICIO DE APLICACIÓN </w:t>
      </w:r>
    </w:p>
    <w:p w:rsidR="00D17712" w:rsidRPr="00080450" w:rsidRDefault="00D17712" w:rsidP="005E2775">
      <w:pPr>
        <w:jc w:val="both"/>
        <w:rPr>
          <w:rFonts w:ascii="Arial" w:hAnsi="Arial" w:cs="Arial"/>
          <w:sz w:val="20"/>
          <w:szCs w:val="20"/>
        </w:rPr>
      </w:pPr>
      <w:r w:rsidRPr="00080450">
        <w:rPr>
          <w:rFonts w:ascii="Arial" w:hAnsi="Arial" w:cs="Arial"/>
          <w:sz w:val="20"/>
          <w:szCs w:val="20"/>
        </w:rPr>
        <w:t xml:space="preserve">Le  solicitamos que </w:t>
      </w:r>
      <w:r w:rsidR="00E15B46" w:rsidRPr="00080450">
        <w:rPr>
          <w:rFonts w:ascii="Arial" w:hAnsi="Arial" w:cs="Arial"/>
          <w:sz w:val="20"/>
          <w:szCs w:val="20"/>
        </w:rPr>
        <w:t xml:space="preserve">identifique que artículos </w:t>
      </w:r>
      <w:r w:rsidRPr="00080450">
        <w:rPr>
          <w:rFonts w:ascii="Arial" w:hAnsi="Arial" w:cs="Arial"/>
          <w:sz w:val="20"/>
          <w:szCs w:val="20"/>
        </w:rPr>
        <w:t xml:space="preserve">de la Ley de </w:t>
      </w:r>
      <w:r w:rsidR="006C4336" w:rsidRPr="00080450">
        <w:rPr>
          <w:rFonts w:ascii="Arial" w:hAnsi="Arial" w:cs="Arial"/>
          <w:sz w:val="20"/>
          <w:szCs w:val="20"/>
        </w:rPr>
        <w:t>P</w:t>
      </w:r>
      <w:r w:rsidRPr="00080450">
        <w:rPr>
          <w:rFonts w:ascii="Arial" w:hAnsi="Arial" w:cs="Arial"/>
          <w:sz w:val="20"/>
          <w:szCs w:val="20"/>
        </w:rPr>
        <w:t>robidad  se “</w:t>
      </w:r>
      <w:r w:rsidRPr="00080450">
        <w:rPr>
          <w:rFonts w:ascii="Arial" w:hAnsi="Arial" w:cs="Arial"/>
          <w:b/>
          <w:sz w:val="20"/>
          <w:szCs w:val="20"/>
        </w:rPr>
        <w:t>estarían</w:t>
      </w:r>
      <w:r w:rsidRPr="00080450">
        <w:rPr>
          <w:rFonts w:ascii="Arial" w:hAnsi="Arial" w:cs="Arial"/>
          <w:sz w:val="20"/>
          <w:szCs w:val="20"/>
        </w:rPr>
        <w:t xml:space="preserve">  </w:t>
      </w:r>
      <w:r w:rsidRPr="00080450">
        <w:rPr>
          <w:rFonts w:ascii="Arial" w:hAnsi="Arial" w:cs="Arial"/>
          <w:b/>
          <w:sz w:val="20"/>
          <w:szCs w:val="20"/>
        </w:rPr>
        <w:t>vulnerando</w:t>
      </w:r>
      <w:r w:rsidR="00E15B46" w:rsidRPr="00080450">
        <w:rPr>
          <w:rFonts w:ascii="Arial" w:hAnsi="Arial" w:cs="Arial"/>
          <w:sz w:val="20"/>
          <w:szCs w:val="20"/>
        </w:rPr>
        <w:t>”</w:t>
      </w:r>
      <w:r w:rsidRPr="00080450">
        <w:rPr>
          <w:rFonts w:ascii="Arial" w:hAnsi="Arial" w:cs="Arial"/>
          <w:sz w:val="20"/>
          <w:szCs w:val="20"/>
        </w:rPr>
        <w:t xml:space="preserve"> en las siguientes solicitudes  </w:t>
      </w:r>
      <w:r w:rsidR="006C4336" w:rsidRPr="00080450">
        <w:rPr>
          <w:rFonts w:ascii="Arial" w:hAnsi="Arial" w:cs="Arial"/>
          <w:sz w:val="20"/>
          <w:szCs w:val="20"/>
        </w:rPr>
        <w:t xml:space="preserve">de pronunciamiento </w:t>
      </w:r>
      <w:r w:rsidRPr="00080450">
        <w:rPr>
          <w:rFonts w:ascii="Arial" w:hAnsi="Arial" w:cs="Arial"/>
          <w:sz w:val="20"/>
          <w:szCs w:val="20"/>
        </w:rPr>
        <w:t>presentadas a la Co</w:t>
      </w:r>
      <w:r w:rsidR="006C4336" w:rsidRPr="00080450">
        <w:rPr>
          <w:rFonts w:ascii="Arial" w:hAnsi="Arial" w:cs="Arial"/>
          <w:sz w:val="20"/>
          <w:szCs w:val="20"/>
        </w:rPr>
        <w:t xml:space="preserve">ntraloría. </w:t>
      </w:r>
      <w:r w:rsidR="00080450">
        <w:rPr>
          <w:rFonts w:ascii="Arial" w:hAnsi="Arial" w:cs="Arial"/>
          <w:sz w:val="20"/>
          <w:szCs w:val="20"/>
        </w:rPr>
        <w:t>Trabaje como se responde en el caso N° 1.</w:t>
      </w:r>
    </w:p>
    <w:tbl>
      <w:tblPr>
        <w:tblStyle w:val="Tablaconcuadrcula"/>
        <w:tblW w:w="5000" w:type="pct"/>
        <w:tblLook w:val="04A0" w:firstRow="1" w:lastRow="0" w:firstColumn="1" w:lastColumn="0" w:noHBand="0" w:noVBand="1"/>
      </w:tblPr>
      <w:tblGrid>
        <w:gridCol w:w="7904"/>
        <w:gridCol w:w="7710"/>
      </w:tblGrid>
      <w:tr w:rsidR="00E15B46" w:rsidRPr="00080450" w:rsidTr="002814F7">
        <w:tc>
          <w:tcPr>
            <w:tcW w:w="2531" w:type="pct"/>
          </w:tcPr>
          <w:p w:rsidR="00E15B46" w:rsidRPr="00080450" w:rsidRDefault="00E15B46" w:rsidP="00E15B46">
            <w:pPr>
              <w:pStyle w:val="Prrafodelista"/>
              <w:numPr>
                <w:ilvl w:val="0"/>
                <w:numId w:val="2"/>
              </w:numPr>
              <w:spacing w:before="120" w:after="120"/>
              <w:jc w:val="both"/>
              <w:rPr>
                <w:rFonts w:ascii="Arial" w:hAnsi="Arial" w:cs="Arial"/>
                <w:sz w:val="20"/>
                <w:szCs w:val="20"/>
              </w:rPr>
            </w:pPr>
            <w:r w:rsidRPr="00080450">
              <w:rPr>
                <w:rFonts w:ascii="Arial" w:hAnsi="Arial" w:cs="Arial"/>
                <w:sz w:val="20"/>
                <w:szCs w:val="20"/>
              </w:rPr>
              <w:t xml:space="preserve">Se pide pronunciamiento de la Contraloría frente a la denuncia de que un funcionario habría participado en un acto de carácter político al que se habría desplazado en vehículo fiscal dentro de su horario de trabajo </w:t>
            </w:r>
          </w:p>
        </w:tc>
        <w:tc>
          <w:tcPr>
            <w:tcW w:w="2469" w:type="pct"/>
          </w:tcPr>
          <w:p w:rsidR="00E15B46" w:rsidRPr="00080450" w:rsidRDefault="00080450" w:rsidP="00080450">
            <w:pPr>
              <w:spacing w:before="120" w:after="120"/>
              <w:jc w:val="both"/>
              <w:rPr>
                <w:rFonts w:ascii="Arial" w:hAnsi="Arial" w:cs="Arial"/>
                <w:sz w:val="20"/>
                <w:szCs w:val="20"/>
              </w:rPr>
            </w:pPr>
            <w:r w:rsidRPr="00080450">
              <w:rPr>
                <w:rFonts w:ascii="Arial" w:hAnsi="Arial" w:cs="Arial"/>
                <w:sz w:val="20"/>
                <w:szCs w:val="20"/>
              </w:rPr>
              <w:t>El artícu</w:t>
            </w:r>
            <w:r>
              <w:rPr>
                <w:rFonts w:ascii="Arial" w:hAnsi="Arial" w:cs="Arial"/>
                <w:sz w:val="20"/>
                <w:szCs w:val="20"/>
              </w:rPr>
              <w:t>lo 62, incisos 3 y 4, señala:</w:t>
            </w:r>
            <w:r w:rsidRPr="00080450">
              <w:rPr>
                <w:rFonts w:ascii="Arial" w:hAnsi="Arial" w:cs="Arial"/>
                <w:sz w:val="20"/>
                <w:szCs w:val="20"/>
              </w:rPr>
              <w:t xml:space="preserve"> </w:t>
            </w:r>
            <w:r w:rsidRPr="00080450">
              <w:rPr>
                <w:rFonts w:ascii="Arial" w:hAnsi="Arial" w:cs="Arial"/>
                <w:sz w:val="20"/>
                <w:szCs w:val="20"/>
              </w:rPr>
              <w:t>“Emplear, bajo cualquier</w:t>
            </w:r>
            <w:r w:rsidRPr="00080450">
              <w:rPr>
                <w:rFonts w:ascii="Arial" w:hAnsi="Arial" w:cs="Arial"/>
                <w:sz w:val="20"/>
                <w:szCs w:val="20"/>
              </w:rPr>
              <w:t xml:space="preserve"> </w:t>
            </w:r>
            <w:r w:rsidRPr="00080450">
              <w:rPr>
                <w:rFonts w:ascii="Arial" w:hAnsi="Arial" w:cs="Arial"/>
                <w:sz w:val="20"/>
                <w:szCs w:val="20"/>
              </w:rPr>
              <w:t>forma, dinero o bienes de la institución, en provecho propio o de terceros” y “Ejecutar</w:t>
            </w:r>
            <w:r w:rsidRPr="00080450">
              <w:rPr>
                <w:rFonts w:ascii="Arial" w:hAnsi="Arial" w:cs="Arial"/>
                <w:sz w:val="20"/>
                <w:szCs w:val="20"/>
              </w:rPr>
              <w:t xml:space="preserve"> </w:t>
            </w:r>
            <w:r w:rsidRPr="00080450">
              <w:rPr>
                <w:rFonts w:ascii="Arial" w:hAnsi="Arial" w:cs="Arial"/>
                <w:sz w:val="20"/>
                <w:szCs w:val="20"/>
              </w:rPr>
              <w:t>actividades, ocupar tiempo de la jornada de trabajo o utilizar personal o recursos del organismo en beneficio propio o para fines ajenos a los institucionales”.</w:t>
            </w:r>
          </w:p>
        </w:tc>
      </w:tr>
      <w:tr w:rsidR="00E15B46" w:rsidRPr="00080450" w:rsidTr="002814F7">
        <w:tc>
          <w:tcPr>
            <w:tcW w:w="2531" w:type="pct"/>
          </w:tcPr>
          <w:p w:rsidR="00E15B46" w:rsidRPr="00080450" w:rsidRDefault="00E15B46" w:rsidP="00E15B46">
            <w:pPr>
              <w:pStyle w:val="Prrafodelista"/>
              <w:numPr>
                <w:ilvl w:val="0"/>
                <w:numId w:val="2"/>
              </w:numPr>
              <w:spacing w:before="120" w:after="120"/>
              <w:jc w:val="both"/>
              <w:rPr>
                <w:rFonts w:ascii="Arial" w:hAnsi="Arial" w:cs="Arial"/>
                <w:sz w:val="20"/>
                <w:szCs w:val="20"/>
              </w:rPr>
            </w:pPr>
            <w:r w:rsidRPr="00080450">
              <w:rPr>
                <w:rFonts w:ascii="Arial" w:hAnsi="Arial" w:cs="Arial"/>
                <w:sz w:val="20"/>
                <w:szCs w:val="20"/>
              </w:rPr>
              <w:t>Se ha dirigido a esta Contraloría General la Secretaría Regional Ministerial de Salud del Biobío, para consultar si la persona que indica -funcionario de su homóloga de la Región Metropolitana-, podía ser relator en una capacitación relacionada con el Reglamento de Calderas, Autoclaves y Equipos que Utilizan Vapor de Agua, efectuada en Concepción y orientada a quienes están sujetos a su fiscalización, dada la materia y su competencia territorial, pues estima que ello configuraría una infracción al principio de probidad administrativa.</w:t>
            </w:r>
          </w:p>
        </w:tc>
        <w:tc>
          <w:tcPr>
            <w:tcW w:w="2469" w:type="pct"/>
          </w:tcPr>
          <w:p w:rsidR="00E15B46" w:rsidRPr="00080450" w:rsidRDefault="00E15B46" w:rsidP="00E15B46">
            <w:pPr>
              <w:spacing w:before="120" w:after="120"/>
              <w:jc w:val="both"/>
              <w:rPr>
                <w:rFonts w:ascii="Arial" w:hAnsi="Arial" w:cs="Arial"/>
                <w:sz w:val="20"/>
                <w:szCs w:val="20"/>
              </w:rPr>
            </w:pPr>
          </w:p>
        </w:tc>
      </w:tr>
      <w:tr w:rsidR="00E15B46" w:rsidRPr="00080450" w:rsidTr="002814F7">
        <w:tc>
          <w:tcPr>
            <w:tcW w:w="2531" w:type="pct"/>
          </w:tcPr>
          <w:p w:rsidR="00E15B46" w:rsidRPr="00080450" w:rsidRDefault="00E15B46" w:rsidP="00E15B46">
            <w:pPr>
              <w:pStyle w:val="Prrafodelista"/>
              <w:numPr>
                <w:ilvl w:val="0"/>
                <w:numId w:val="2"/>
              </w:numPr>
              <w:spacing w:before="120" w:after="120"/>
              <w:jc w:val="both"/>
              <w:rPr>
                <w:rFonts w:ascii="Arial" w:hAnsi="Arial" w:cs="Arial"/>
                <w:sz w:val="20"/>
                <w:szCs w:val="20"/>
              </w:rPr>
            </w:pPr>
            <w:r w:rsidRPr="00080450">
              <w:rPr>
                <w:rFonts w:ascii="Arial" w:hAnsi="Arial" w:cs="Arial"/>
                <w:sz w:val="20"/>
                <w:szCs w:val="20"/>
              </w:rPr>
              <w:t>El Ministerio del Deporte consulta  sobre si al ex jefe de la División de Actividad Física y Deportes del Instituto Nacional de Deportes de Chile (IND), quien luego de su cese habría asumido el cargo de Gerente General de la Federación Chilena de Navegación a Vela, organización deportiva a la cual se le transfieren recursos financieros con cargo al presupuesto del aludido IND. El pronunciamiento se solicita a fin de determinar si se rechaza o no todo gasto realizado por esa Federación con recursos transferidos por dicho Servicio y que puedan asociarse al pago de remuneraciones o a cualquier otro estipendio al ex funcionario.</w:t>
            </w:r>
          </w:p>
        </w:tc>
        <w:tc>
          <w:tcPr>
            <w:tcW w:w="2469" w:type="pct"/>
          </w:tcPr>
          <w:p w:rsidR="00E15B46" w:rsidRPr="00080450" w:rsidRDefault="00E15B46" w:rsidP="00E15B46">
            <w:pPr>
              <w:spacing w:before="120" w:after="120"/>
              <w:jc w:val="both"/>
              <w:rPr>
                <w:rFonts w:ascii="Arial" w:hAnsi="Arial" w:cs="Arial"/>
                <w:sz w:val="20"/>
                <w:szCs w:val="20"/>
              </w:rPr>
            </w:pPr>
          </w:p>
        </w:tc>
      </w:tr>
      <w:tr w:rsidR="00E15B46" w:rsidRPr="00080450" w:rsidTr="002814F7">
        <w:tc>
          <w:tcPr>
            <w:tcW w:w="2531" w:type="pct"/>
          </w:tcPr>
          <w:p w:rsidR="00E15B46" w:rsidRPr="00080450" w:rsidRDefault="00E15B46" w:rsidP="00E15B46">
            <w:pPr>
              <w:pStyle w:val="Prrafodelista"/>
              <w:numPr>
                <w:ilvl w:val="0"/>
                <w:numId w:val="2"/>
              </w:numPr>
              <w:spacing w:before="120" w:after="120"/>
              <w:jc w:val="both"/>
              <w:rPr>
                <w:rFonts w:ascii="Arial" w:hAnsi="Arial" w:cs="Arial"/>
                <w:sz w:val="20"/>
                <w:szCs w:val="20"/>
              </w:rPr>
            </w:pPr>
            <w:r w:rsidRPr="00080450">
              <w:rPr>
                <w:rFonts w:ascii="Arial" w:hAnsi="Arial" w:cs="Arial"/>
                <w:sz w:val="20"/>
                <w:szCs w:val="20"/>
              </w:rPr>
              <w:t xml:space="preserve">Se han dirigido a esta Contraloría General doña Marcela </w:t>
            </w:r>
            <w:proofErr w:type="spellStart"/>
            <w:r w:rsidRPr="00080450">
              <w:rPr>
                <w:rFonts w:ascii="Arial" w:hAnsi="Arial" w:cs="Arial"/>
                <w:sz w:val="20"/>
                <w:szCs w:val="20"/>
              </w:rPr>
              <w:t>Lincoqueo</w:t>
            </w:r>
            <w:proofErr w:type="spellEnd"/>
            <w:r w:rsidRPr="00080450">
              <w:rPr>
                <w:rFonts w:ascii="Arial" w:hAnsi="Arial" w:cs="Arial"/>
                <w:sz w:val="20"/>
                <w:szCs w:val="20"/>
              </w:rPr>
              <w:t xml:space="preserve"> </w:t>
            </w:r>
            <w:proofErr w:type="spellStart"/>
            <w:r w:rsidRPr="00080450">
              <w:rPr>
                <w:rFonts w:ascii="Arial" w:hAnsi="Arial" w:cs="Arial"/>
                <w:sz w:val="20"/>
                <w:szCs w:val="20"/>
              </w:rPr>
              <w:t>Ancamilla</w:t>
            </w:r>
            <w:proofErr w:type="spellEnd"/>
            <w:r w:rsidRPr="00080450">
              <w:rPr>
                <w:rFonts w:ascii="Arial" w:hAnsi="Arial" w:cs="Arial"/>
                <w:sz w:val="20"/>
                <w:szCs w:val="20"/>
              </w:rPr>
              <w:t xml:space="preserve"> y don Ariel León </w:t>
            </w:r>
            <w:proofErr w:type="spellStart"/>
            <w:r w:rsidRPr="00080450">
              <w:rPr>
                <w:rFonts w:ascii="Arial" w:hAnsi="Arial" w:cs="Arial"/>
                <w:sz w:val="20"/>
                <w:szCs w:val="20"/>
              </w:rPr>
              <w:t>Bacián</w:t>
            </w:r>
            <w:proofErr w:type="spellEnd"/>
            <w:r w:rsidRPr="00080450">
              <w:rPr>
                <w:rFonts w:ascii="Arial" w:hAnsi="Arial" w:cs="Arial"/>
                <w:sz w:val="20"/>
                <w:szCs w:val="20"/>
              </w:rPr>
              <w:t xml:space="preserve"> y don José Escalona Soto, todos dirigentes indígenas, solicitando un pronunciamiento sobre el posible conflicto de interés que afectaría a don Matías </w:t>
            </w:r>
            <w:proofErr w:type="spellStart"/>
            <w:r w:rsidRPr="00080450">
              <w:rPr>
                <w:rFonts w:ascii="Arial" w:hAnsi="Arial" w:cs="Arial"/>
                <w:sz w:val="20"/>
                <w:szCs w:val="20"/>
              </w:rPr>
              <w:t>Abogabir</w:t>
            </w:r>
            <w:proofErr w:type="spellEnd"/>
            <w:r w:rsidRPr="00080450">
              <w:rPr>
                <w:rFonts w:ascii="Arial" w:hAnsi="Arial" w:cs="Arial"/>
                <w:sz w:val="20"/>
                <w:szCs w:val="20"/>
              </w:rPr>
              <w:t xml:space="preserve"> Méndez, funcionario de la Subsecretaría de Servicios Sociales, por su participación accionaria en la empresa Endesa Chile S.A. y, al mismo tiempo, como interviniente en la tramitación del proyecto de ley sobre Carretera Eléctrica.</w:t>
            </w:r>
          </w:p>
        </w:tc>
        <w:tc>
          <w:tcPr>
            <w:tcW w:w="2469" w:type="pct"/>
          </w:tcPr>
          <w:p w:rsidR="00E15B46" w:rsidRPr="00080450" w:rsidRDefault="00E15B46" w:rsidP="00E15B46">
            <w:pPr>
              <w:spacing w:before="120" w:after="120"/>
              <w:jc w:val="both"/>
              <w:rPr>
                <w:rFonts w:ascii="Arial" w:hAnsi="Arial" w:cs="Arial"/>
                <w:sz w:val="20"/>
                <w:szCs w:val="20"/>
              </w:rPr>
            </w:pPr>
          </w:p>
        </w:tc>
      </w:tr>
      <w:tr w:rsidR="00E15B46" w:rsidRPr="00080450" w:rsidTr="002814F7">
        <w:tc>
          <w:tcPr>
            <w:tcW w:w="2531" w:type="pct"/>
          </w:tcPr>
          <w:p w:rsidR="00E15B46" w:rsidRPr="00080450" w:rsidRDefault="00E15B46" w:rsidP="00E15B46">
            <w:pPr>
              <w:pStyle w:val="Prrafodelista"/>
              <w:numPr>
                <w:ilvl w:val="0"/>
                <w:numId w:val="2"/>
              </w:numPr>
              <w:spacing w:before="120" w:after="120"/>
              <w:jc w:val="both"/>
              <w:rPr>
                <w:rFonts w:ascii="Arial" w:hAnsi="Arial" w:cs="Arial"/>
                <w:sz w:val="20"/>
                <w:szCs w:val="20"/>
              </w:rPr>
            </w:pPr>
            <w:r w:rsidRPr="00080450">
              <w:rPr>
                <w:rFonts w:ascii="Arial" w:hAnsi="Arial" w:cs="Arial"/>
                <w:sz w:val="20"/>
                <w:szCs w:val="20"/>
              </w:rPr>
              <w:t xml:space="preserve">Se ha dirigido a esta Contraloría General el alcalde de la Municipalidad de </w:t>
            </w:r>
            <w:proofErr w:type="spellStart"/>
            <w:r w:rsidRPr="00080450">
              <w:rPr>
                <w:rFonts w:ascii="Arial" w:hAnsi="Arial" w:cs="Arial"/>
                <w:sz w:val="20"/>
                <w:szCs w:val="20"/>
              </w:rPr>
              <w:t>Pirque</w:t>
            </w:r>
            <w:proofErr w:type="spellEnd"/>
            <w:r w:rsidRPr="00080450">
              <w:rPr>
                <w:rFonts w:ascii="Arial" w:hAnsi="Arial" w:cs="Arial"/>
                <w:sz w:val="20"/>
                <w:szCs w:val="20"/>
              </w:rPr>
              <w:t>, solicitando un pronunciamiento que determine si se ha ajustado a derecho la contratación a honorarios de un profesional que no identifica, atendido que este tiene un vínculo de parentesco en tercer grado de consanguinidad con un director de dicha entidad edilicia.</w:t>
            </w:r>
          </w:p>
        </w:tc>
        <w:tc>
          <w:tcPr>
            <w:tcW w:w="2469" w:type="pct"/>
          </w:tcPr>
          <w:p w:rsidR="00E15B46" w:rsidRPr="00080450" w:rsidRDefault="00E15B46" w:rsidP="00E15B46">
            <w:pPr>
              <w:spacing w:before="120" w:after="120"/>
              <w:jc w:val="both"/>
              <w:rPr>
                <w:rFonts w:ascii="Arial" w:hAnsi="Arial" w:cs="Arial"/>
                <w:sz w:val="20"/>
                <w:szCs w:val="20"/>
              </w:rPr>
            </w:pPr>
          </w:p>
        </w:tc>
      </w:tr>
    </w:tbl>
    <w:p w:rsidR="00E15B46" w:rsidRPr="00080450" w:rsidRDefault="00E15B46" w:rsidP="00080450">
      <w:pPr>
        <w:spacing w:before="120" w:after="120"/>
        <w:jc w:val="both"/>
        <w:rPr>
          <w:rFonts w:ascii="Arial" w:hAnsi="Arial" w:cs="Arial"/>
          <w:sz w:val="20"/>
          <w:szCs w:val="20"/>
        </w:rPr>
      </w:pPr>
      <w:bookmarkStart w:id="0" w:name="_GoBack"/>
      <w:bookmarkEnd w:id="0"/>
    </w:p>
    <w:sectPr w:rsidR="00E15B46" w:rsidRPr="00080450" w:rsidSect="00080450">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24A5"/>
    <w:multiLevelType w:val="hybridMultilevel"/>
    <w:tmpl w:val="BB68042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6DEB1FEB"/>
    <w:multiLevelType w:val="hybridMultilevel"/>
    <w:tmpl w:val="AAB0A0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75"/>
    <w:rsid w:val="00080450"/>
    <w:rsid w:val="000920D3"/>
    <w:rsid w:val="002814F7"/>
    <w:rsid w:val="0052671E"/>
    <w:rsid w:val="005E2775"/>
    <w:rsid w:val="006C4336"/>
    <w:rsid w:val="0076758C"/>
    <w:rsid w:val="00832184"/>
    <w:rsid w:val="00992A6B"/>
    <w:rsid w:val="00A91EBD"/>
    <w:rsid w:val="00AB7E27"/>
    <w:rsid w:val="00D17712"/>
    <w:rsid w:val="00E15B46"/>
    <w:rsid w:val="00F44B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E2775"/>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customStyle="1" w:styleId="tgc">
    <w:name w:val="_tgc"/>
    <w:basedOn w:val="Fuentedeprrafopredeter"/>
    <w:rsid w:val="00AB7E27"/>
  </w:style>
  <w:style w:type="paragraph" w:styleId="Prrafodelista">
    <w:name w:val="List Paragraph"/>
    <w:basedOn w:val="Normal"/>
    <w:uiPriority w:val="34"/>
    <w:qFormat/>
    <w:rsid w:val="00D17712"/>
    <w:pPr>
      <w:ind w:left="720"/>
      <w:contextualSpacing/>
    </w:pPr>
  </w:style>
  <w:style w:type="table" w:styleId="Tablaconcuadrcula">
    <w:name w:val="Table Grid"/>
    <w:basedOn w:val="Tablanormal"/>
    <w:uiPriority w:val="59"/>
    <w:rsid w:val="00E1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15B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E2775"/>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customStyle="1" w:styleId="tgc">
    <w:name w:val="_tgc"/>
    <w:basedOn w:val="Fuentedeprrafopredeter"/>
    <w:rsid w:val="00AB7E27"/>
  </w:style>
  <w:style w:type="paragraph" w:styleId="Prrafodelista">
    <w:name w:val="List Paragraph"/>
    <w:basedOn w:val="Normal"/>
    <w:uiPriority w:val="34"/>
    <w:qFormat/>
    <w:rsid w:val="00D17712"/>
    <w:pPr>
      <w:ind w:left="720"/>
      <w:contextualSpacing/>
    </w:pPr>
  </w:style>
  <w:style w:type="table" w:styleId="Tablaconcuadrcula">
    <w:name w:val="Table Grid"/>
    <w:basedOn w:val="Tablanormal"/>
    <w:uiPriority w:val="59"/>
    <w:rsid w:val="00E1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15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1232">
      <w:bodyDiv w:val="1"/>
      <w:marLeft w:val="0"/>
      <w:marRight w:val="0"/>
      <w:marTop w:val="0"/>
      <w:marBottom w:val="0"/>
      <w:divBdr>
        <w:top w:val="none" w:sz="0" w:space="0" w:color="auto"/>
        <w:left w:val="none" w:sz="0" w:space="0" w:color="auto"/>
        <w:bottom w:val="none" w:sz="0" w:space="0" w:color="auto"/>
        <w:right w:val="none" w:sz="0" w:space="0" w:color="auto"/>
      </w:divBdr>
      <w:divsChild>
        <w:div w:id="78146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Flores</dc:creator>
  <cp:lastModifiedBy>Patricio</cp:lastModifiedBy>
  <cp:revision>5</cp:revision>
  <dcterms:created xsi:type="dcterms:W3CDTF">2015-04-28T16:00:00Z</dcterms:created>
  <dcterms:modified xsi:type="dcterms:W3CDTF">2015-04-28T16:09:00Z</dcterms:modified>
</cp:coreProperties>
</file>